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outlineLvl w:val="0"/>
        <w:rPr>
          <w:sz w:val="24"/>
          <w:szCs w:val="24"/>
          <w:lang w:val="sr-CS"/>
        </w:rPr>
      </w:pPr>
      <w:r>
        <w:rPr>
          <w:b/>
          <w:sz w:val="24"/>
          <w:szCs w:val="24"/>
          <w:lang w:val="sr-CS"/>
        </w:rPr>
        <w:t>Табела 9.1.</w:t>
      </w:r>
      <w:r>
        <w:rPr>
          <w:sz w:val="24"/>
          <w:szCs w:val="24"/>
          <w:lang w:val="sr-CS"/>
        </w:rPr>
        <w:t xml:space="preserve"> Научне, уметничке и стручне квалификације наставника и задуже</w:t>
      </w:r>
      <w:r>
        <w:rPr>
          <w:sz w:val="24"/>
          <w:szCs w:val="24"/>
        </w:rPr>
        <w:t>њ</w:t>
      </w:r>
      <w:r>
        <w:rPr>
          <w:sz w:val="24"/>
          <w:szCs w:val="24"/>
          <w:lang w:val="sr-CS"/>
        </w:rPr>
        <w:t>а у настави</w:t>
      </w:r>
    </w:p>
    <w:p>
      <w:pPr>
        <w:pStyle w:val="Normal"/>
        <w:rPr/>
      </w:pPr>
      <w:r>
        <w:rPr/>
      </w:r>
    </w:p>
    <w:tbl>
      <w:tblPr>
        <w:tblW w:w="9811" w:type="dxa"/>
        <w:jc w:val="left"/>
        <w:tblInd w:w="2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853"/>
        <w:gridCol w:w="676"/>
        <w:gridCol w:w="345"/>
        <w:gridCol w:w="600"/>
        <w:gridCol w:w="1410"/>
        <w:gridCol w:w="555"/>
        <w:gridCol w:w="180"/>
        <w:gridCol w:w="1802"/>
        <w:gridCol w:w="509"/>
        <w:gridCol w:w="1903"/>
        <w:gridCol w:w="977"/>
      </w:tblGrid>
      <w:tr>
        <w:trPr/>
        <w:tc>
          <w:tcPr>
            <w:tcW w:w="4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Име, средње слово, презиме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Марија Митровић Данкулов</w:t>
            </w:r>
          </w:p>
        </w:tc>
      </w:tr>
      <w:tr>
        <w:trPr/>
        <w:tc>
          <w:tcPr>
            <w:tcW w:w="4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Звање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Виши научни сарадник</w:t>
            </w:r>
          </w:p>
        </w:tc>
      </w:tr>
      <w:tr>
        <w:trPr/>
        <w:tc>
          <w:tcPr>
            <w:tcW w:w="4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szCs w:val="22"/>
                <w:lang w:val="sr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Институт за физику у Београду, Универзитет у Београду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</w:rPr>
              <w:t xml:space="preserve">Од </w:t>
            </w:r>
            <w:r>
              <w:rPr>
                <w:sz w:val="19"/>
                <w:szCs w:val="19"/>
                <w:lang w:val="en-US"/>
              </w:rPr>
              <w:t>2013.</w:t>
            </w:r>
          </w:p>
        </w:tc>
      </w:tr>
      <w:tr>
        <w:trPr/>
        <w:tc>
          <w:tcPr>
            <w:tcW w:w="4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Ужа научна односно уметничка област</w:t>
            </w:r>
          </w:p>
        </w:tc>
        <w:tc>
          <w:tcPr>
            <w:tcW w:w="537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Физика комплексних система</w:t>
            </w:r>
          </w:p>
        </w:tc>
      </w:tr>
      <w:tr>
        <w:trPr/>
        <w:tc>
          <w:tcPr>
            <w:tcW w:w="98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</w:rPr>
              <w:t>Академска каријера</w:t>
            </w:r>
          </w:p>
        </w:tc>
      </w:tr>
      <w:tr>
        <w:trPr/>
        <w:tc>
          <w:tcPr>
            <w:tcW w:w="1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Година</w:t>
            </w:r>
          </w:p>
        </w:tc>
        <w:tc>
          <w:tcPr>
            <w:tcW w:w="44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Институција</w:t>
            </w:r>
          </w:p>
        </w:tc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Област</w:t>
            </w:r>
          </w:p>
        </w:tc>
      </w:tr>
      <w:tr>
        <w:trPr/>
        <w:tc>
          <w:tcPr>
            <w:tcW w:w="1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Избор у звање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2018.</w:t>
            </w:r>
          </w:p>
          <w:p>
            <w:pPr>
              <w:pStyle w:val="Normal"/>
              <w:jc w:val="center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2012.</w:t>
            </w:r>
          </w:p>
        </w:tc>
        <w:tc>
          <w:tcPr>
            <w:tcW w:w="44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Институт за физику у Београду (виши научни сарадник)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Институт за физику у Београду (научни сарадник)</w:t>
            </w:r>
          </w:p>
        </w:tc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rStyle w:val="Hps"/>
                <w:color w:val="333333"/>
                <w:sz w:val="19"/>
                <w:szCs w:val="19"/>
                <w:lang w:val="sr-CS"/>
              </w:rPr>
              <w:t>Природне науке - физика</w:t>
            </w:r>
          </w:p>
          <w:p>
            <w:pPr>
              <w:pStyle w:val="Normal"/>
              <w:rPr>
                <w:rStyle w:val="Hps"/>
                <w:color w:val="333333"/>
                <w:sz w:val="19"/>
                <w:szCs w:val="19"/>
                <w:lang w:val="sr-CS"/>
              </w:rPr>
            </w:pPr>
            <w:r>
              <w:rPr>
                <w:color w:val="333333"/>
                <w:sz w:val="19"/>
                <w:szCs w:val="19"/>
                <w:lang w:val="sr-CS"/>
              </w:rPr>
            </w:r>
          </w:p>
          <w:p>
            <w:pPr>
              <w:pStyle w:val="Normal"/>
              <w:rPr/>
            </w:pPr>
            <w:r>
              <w:rPr>
                <w:rStyle w:val="Hps"/>
                <w:color w:val="333333"/>
                <w:sz w:val="19"/>
                <w:szCs w:val="19"/>
                <w:lang w:val="sr-CS"/>
              </w:rPr>
              <w:t>Природне науке - физика</w:t>
            </w:r>
          </w:p>
        </w:tc>
      </w:tr>
      <w:tr>
        <w:trPr/>
        <w:tc>
          <w:tcPr>
            <w:tcW w:w="1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Докторат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2012.</w:t>
            </w:r>
          </w:p>
        </w:tc>
        <w:tc>
          <w:tcPr>
            <w:tcW w:w="44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Универзитет у Београду, Физички факултет</w:t>
            </w:r>
          </w:p>
        </w:tc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rStyle w:val="Hps"/>
                <w:color w:val="333333"/>
                <w:sz w:val="19"/>
                <w:szCs w:val="19"/>
                <w:lang w:val="sr-CS"/>
              </w:rPr>
              <w:t>Природне науке - физика</w:t>
            </w:r>
          </w:p>
        </w:tc>
      </w:tr>
      <w:tr>
        <w:trPr/>
        <w:tc>
          <w:tcPr>
            <w:tcW w:w="1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Специјализација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44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</w:tr>
      <w:tr>
        <w:trPr/>
        <w:tc>
          <w:tcPr>
            <w:tcW w:w="1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Магистратура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2010.</w:t>
            </w:r>
          </w:p>
        </w:tc>
        <w:tc>
          <w:tcPr>
            <w:tcW w:w="44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Универзитет у Београду, Физички факултет</w:t>
            </w:r>
          </w:p>
        </w:tc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Физика, комплексни системи</w:t>
            </w:r>
          </w:p>
        </w:tc>
      </w:tr>
      <w:tr>
        <w:trPr/>
        <w:tc>
          <w:tcPr>
            <w:tcW w:w="1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Диплома</w:t>
            </w:r>
          </w:p>
        </w:tc>
        <w:tc>
          <w:tcPr>
            <w:tcW w:w="9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2005.</w:t>
            </w:r>
          </w:p>
        </w:tc>
        <w:tc>
          <w:tcPr>
            <w:tcW w:w="44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Универзитет у Београду, Физички факултет факултет</w:t>
            </w:r>
          </w:p>
        </w:tc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Физика, теоријска физика</w:t>
            </w:r>
          </w:p>
        </w:tc>
      </w:tr>
      <w:tr>
        <w:trPr/>
        <w:tc>
          <w:tcPr>
            <w:tcW w:w="98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ru-RU"/>
              </w:rPr>
            </w:pPr>
            <w:r>
              <w:rPr>
                <w:b/>
                <w:sz w:val="22"/>
                <w:szCs w:val="22"/>
                <w:lang w:val="sr-CS"/>
              </w:rPr>
              <w:t xml:space="preserve">Списак предмета које наставник држи </w:t>
            </w:r>
            <w:r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sr-CS"/>
              </w:rPr>
            </w:pPr>
            <w:r>
              <w:rPr>
                <w:b/>
              </w:rPr>
              <w:t>РБ</w:t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iCs/>
              </w:rPr>
            </w:pPr>
            <w:r>
              <w:rPr>
                <w:b/>
                <w:iCs/>
                <w:lang w:val="sr-CS"/>
              </w:rPr>
              <w:t>Назив предмета</w:t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iCs/>
                <w:lang w:val="sr-CS"/>
              </w:rPr>
              <w:t xml:space="preserve">Назив </w:t>
            </w:r>
            <w:r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Часова активне наставе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  <w:lang w:val="sr-RS"/>
              </w:rPr>
            </w:pPr>
            <w:r>
              <w:rPr>
                <w:sz w:val="19"/>
                <w:szCs w:val="19"/>
                <w:lang w:val="sr-R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494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/>
        <w:tc>
          <w:tcPr>
            <w:tcW w:w="98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Репрезентативне референце (минимално 5 не више од 10)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900" w:leader="none"/>
                <w:tab w:val="left" w:pos="1200" w:leader="none"/>
                <w:tab w:val="left" w:pos="1276" w:leader="none"/>
              </w:tabs>
              <w:ind w:right="0" w:hanging="0"/>
              <w:jc w:val="both"/>
              <w:rPr/>
            </w:pPr>
            <w:r>
              <w:rPr>
                <w:sz w:val="19"/>
                <w:szCs w:val="19"/>
                <w:lang w:val="de-DE"/>
              </w:rPr>
              <w:t xml:space="preserve">M. Mitrović Dankulov, G. Caldarelli, S. Fortunato, D. Krioukov, Classifying networks with dk-series, in </w:t>
            </w:r>
            <w:r>
              <w:rPr>
                <w:b/>
                <w:bCs/>
                <w:sz w:val="19"/>
                <w:szCs w:val="19"/>
                <w:lang w:val="de-DE"/>
              </w:rPr>
              <w:t xml:space="preserve">Multiplex and Multilevel Networks, </w:t>
            </w:r>
            <w:r>
              <w:rPr>
                <w:b w:val="false"/>
                <w:bCs w:val="false"/>
                <w:sz w:val="19"/>
                <w:szCs w:val="19"/>
                <w:lang w:val="de-DE"/>
              </w:rPr>
              <w:t>edited by S. Battiston, G. Caldarell, and A. Garas, Oxford University Press, 2019. DOI 10.1093/oso/9780198809456.003.000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900" w:leader="none"/>
                <w:tab w:val="left" w:pos="1200" w:leader="none"/>
                <w:tab w:val="left" w:pos="1276" w:leader="none"/>
              </w:tabs>
              <w:ind w:right="0" w:hanging="0"/>
              <w:jc w:val="both"/>
              <w:rPr/>
            </w:pPr>
            <w:r>
              <w:rPr>
                <w:i w:val="false"/>
                <w:iCs w:val="false"/>
                <w:sz w:val="19"/>
                <w:szCs w:val="19"/>
              </w:rPr>
              <w:t xml:space="preserve">J. Smiljanić and M. Mitrović Dankulov, Associative nature of event participation dynamics: a network theory approach, </w:t>
            </w:r>
            <w:r>
              <w:rPr>
                <w:b/>
                <w:bCs/>
                <w:i w:val="false"/>
                <w:iCs w:val="false"/>
                <w:sz w:val="19"/>
                <w:szCs w:val="19"/>
                <w:lang w:val="de-DE"/>
              </w:rPr>
              <w:t>PLoS ONE</w:t>
            </w:r>
            <w:r>
              <w:rPr>
                <w:i w:val="false"/>
                <w:iCs w:val="false"/>
                <w:sz w:val="19"/>
                <w:szCs w:val="19"/>
                <w:lang w:val="de-DE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sz w:val="19"/>
                <w:szCs w:val="19"/>
                <w:lang w:val="de-DE"/>
              </w:rPr>
              <w:t>12</w:t>
            </w:r>
            <w:r>
              <w:rPr>
                <w:i w:val="false"/>
                <w:iCs w:val="false"/>
                <w:sz w:val="19"/>
                <w:szCs w:val="19"/>
                <w:lang w:val="de-DE"/>
              </w:rPr>
              <w:t xml:space="preserve">, e0171565, 2017. DOI: </w:t>
            </w:r>
            <w:bookmarkStart w:id="0" w:name="artDoi"/>
            <w:bookmarkEnd w:id="0"/>
            <w:r>
              <w:rPr>
                <w:i w:val="false"/>
                <w:iCs w:val="false"/>
                <w:sz w:val="19"/>
                <w:szCs w:val="19"/>
                <w:lang w:val="de-DE"/>
              </w:rPr>
              <w:t xml:space="preserve">10.1371/journal.pone.0171565 </w:t>
            </w:r>
            <w:r>
              <w:rPr>
                <w:lang w:val="de-DE"/>
              </w:rPr>
              <w:t xml:space="preserve">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19"/>
                <w:szCs w:val="19"/>
                <w:lang w:val="sr-CS"/>
              </w:rPr>
              <w:t xml:space="preserve">M. Mitrović Dankulov and J. Smiljanić, Structure and dynamics of meetup social networks, in </w:t>
            </w:r>
            <w:r>
              <w:rPr>
                <w:b/>
                <w:bCs/>
                <w:sz w:val="19"/>
                <w:szCs w:val="19"/>
                <w:lang w:val="sr-CS"/>
              </w:rPr>
              <w:t>Scientific Computing: Studies and Applications</w:t>
            </w:r>
            <w:r>
              <w:rPr>
                <w:sz w:val="19"/>
                <w:szCs w:val="19"/>
                <w:lang w:val="sr-CS"/>
              </w:rPr>
              <w:t>, edited by C. Erling, Nova  Science Publishers, pp. 33-61, 2017. ISBN-13: 78-1536125641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/>
              <w:t>M. Mitrović Dankulov, R. Melnik and B. Tadić</w:t>
            </w:r>
            <w:r>
              <w:rPr>
                <w:b w:val="false"/>
                <w:bCs w:val="false"/>
                <w:i w:val="false"/>
                <w:iCs w:val="false"/>
                <w:sz w:val="19"/>
                <w:szCs w:val="19"/>
              </w:rPr>
              <w:t xml:space="preserve">,  </w:t>
            </w:r>
            <w:r>
              <w:rPr>
                <w:rFonts w:eastAsia="T3Font_1"/>
                <w:b w:val="false"/>
                <w:bCs w:val="false"/>
                <w:i w:val="false"/>
                <w:iCs w:val="false"/>
                <w:sz w:val="19"/>
                <w:szCs w:val="19"/>
              </w:rPr>
              <w:t xml:space="preserve">The Dynamics of Meaningful Social Interactions and the Emergence of Collective Knowledge, </w:t>
            </w:r>
            <w:r>
              <w:rPr>
                <w:rFonts w:eastAsia="T3Font_1"/>
                <w:b/>
                <w:bCs/>
                <w:i w:val="false"/>
                <w:iCs w:val="false"/>
                <w:sz w:val="19"/>
                <w:szCs w:val="19"/>
              </w:rPr>
              <w:t>Sci. Rep.  5</w:t>
            </w:r>
            <w:r>
              <w:rPr>
                <w:rFonts w:eastAsia="T3Font_1"/>
                <w:b w:val="false"/>
                <w:bCs w:val="false"/>
                <w:i w:val="false"/>
                <w:iCs w:val="false"/>
                <w:sz w:val="19"/>
                <w:szCs w:val="19"/>
              </w:rPr>
              <w:t>, 12197, 2015. DOI: 10.1038/srep12197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900" w:leader="none"/>
                <w:tab w:val="left" w:pos="1200" w:leader="none"/>
              </w:tabs>
              <w:ind w:right="0" w:hanging="0"/>
              <w:jc w:val="both"/>
              <w:rPr/>
            </w:pPr>
            <w:r>
              <w:rPr>
                <w:sz w:val="19"/>
                <w:szCs w:val="19"/>
              </w:rPr>
              <w:t xml:space="preserve">C. Orsini, </w:t>
            </w:r>
            <w:r>
              <w:rPr>
                <w:b w:val="false"/>
                <w:bCs w:val="false"/>
                <w:sz w:val="19"/>
                <w:szCs w:val="19"/>
              </w:rPr>
              <w:t>M. Mitrović Dankulov,</w:t>
            </w:r>
            <w:r>
              <w:rPr>
                <w:sz w:val="19"/>
                <w:szCs w:val="19"/>
              </w:rPr>
              <w:t xml:space="preserve"> P. Colomer-de-Simón, A. Jamakovic, P. Mahadevan, A. Vahdat, K. E. Bassler, Z. Toroczkai, M. Boguñá, G. Caldarelli, S. Fortunato, and D. Krioukov, </w:t>
            </w:r>
            <w:r>
              <w:rPr>
                <w:b w:val="false"/>
                <w:bCs w:val="false"/>
                <w:i w:val="false"/>
                <w:iCs w:val="false"/>
                <w:sz w:val="19"/>
                <w:szCs w:val="19"/>
              </w:rPr>
              <w:t xml:space="preserve">Quantifying Randomness in Real Networks, </w:t>
            </w:r>
            <w:r>
              <w:rPr>
                <w:b/>
                <w:bCs/>
                <w:i w:val="false"/>
                <w:iCs w:val="false"/>
                <w:sz w:val="19"/>
                <w:szCs w:val="19"/>
              </w:rPr>
              <w:t>Nat. Commun.</w:t>
            </w:r>
            <w:r>
              <w:rPr>
                <w:b w:val="false"/>
                <w:bCs w:val="false"/>
                <w:i w:val="false"/>
                <w:iCs w:val="false"/>
                <w:sz w:val="19"/>
                <w:szCs w:val="19"/>
              </w:rPr>
              <w:t xml:space="preserve"> </w:t>
            </w:r>
            <w:r>
              <w:rPr>
                <w:b/>
                <w:bCs/>
                <w:i w:val="false"/>
                <w:iCs w:val="false"/>
                <w:sz w:val="19"/>
                <w:szCs w:val="19"/>
              </w:rPr>
              <w:t>6</w:t>
            </w:r>
            <w:r>
              <w:rPr>
                <w:b w:val="false"/>
                <w:bCs w:val="false"/>
                <w:i w:val="false"/>
                <w:iCs w:val="false"/>
                <w:sz w:val="19"/>
                <w:szCs w:val="19"/>
              </w:rPr>
              <w:t xml:space="preserve">, 8627, 2015. DOI: </w:t>
            </w:r>
            <w:r>
              <w:rPr>
                <w:b w:val="false"/>
                <w:bCs w:val="false"/>
                <w:i w:val="false"/>
                <w:iCs w:val="false"/>
              </w:rPr>
              <w:t>10.1038/ncomms9627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900" w:leader="none"/>
                <w:tab w:val="left" w:pos="1200" w:leader="none"/>
              </w:tabs>
              <w:ind w:right="0" w:hanging="0"/>
              <w:jc w:val="both"/>
              <w:rPr>
                <w:sz w:val="19"/>
                <w:szCs w:val="19"/>
              </w:rPr>
            </w:pPr>
            <w:r>
              <w:rPr>
                <w:rFonts w:eastAsia="T3Font_1"/>
                <w:sz w:val="19"/>
                <w:szCs w:val="19"/>
              </w:rPr>
              <w:t xml:space="preserve">S. Fortunato, A. Chatterjee, </w:t>
            </w:r>
            <w:r>
              <w:rPr>
                <w:rFonts w:eastAsia="T3Font_1"/>
                <w:b w:val="false"/>
                <w:bCs w:val="false"/>
                <w:sz w:val="19"/>
                <w:szCs w:val="19"/>
              </w:rPr>
              <w:t>M. Mitrović</w:t>
            </w:r>
            <w:r>
              <w:rPr>
                <w:rFonts w:eastAsia="T3Font_1"/>
                <w:sz w:val="19"/>
                <w:szCs w:val="19"/>
              </w:rPr>
              <w:t xml:space="preserve">, R. Ku. Pan, P. Della Briotta Parolo, and F. Becattini, </w:t>
            </w:r>
            <w:r>
              <w:rPr>
                <w:rFonts w:eastAsia="T3Font_1"/>
                <w:i w:val="false"/>
                <w:iCs w:val="false"/>
                <w:sz w:val="19"/>
                <w:szCs w:val="19"/>
              </w:rPr>
              <w:t>Growing Time Lag Threatens Nobels,</w:t>
            </w:r>
            <w:r>
              <w:rPr>
                <w:rFonts w:eastAsia="T3Font_1"/>
                <w:i/>
                <w:iCs/>
                <w:sz w:val="19"/>
                <w:szCs w:val="19"/>
              </w:rPr>
              <w:t xml:space="preserve"> </w:t>
            </w:r>
            <w:r>
              <w:rPr>
                <w:rFonts w:eastAsia="T3Font_1"/>
                <w:b/>
                <w:bCs/>
                <w:sz w:val="19"/>
                <w:szCs w:val="19"/>
              </w:rPr>
              <w:t>Nature 508</w:t>
            </w:r>
            <w:r>
              <w:rPr>
                <w:rFonts w:eastAsia="T3Font_1"/>
                <w:sz w:val="19"/>
                <w:szCs w:val="19"/>
              </w:rPr>
              <w:t>,186, 2014. doi: 10.1038/508186a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900" w:leader="none"/>
                <w:tab w:val="left" w:pos="1200" w:leader="none"/>
              </w:tabs>
              <w:ind w:right="0" w:hanging="0"/>
              <w:jc w:val="both"/>
              <w:rPr>
                <w:sz w:val="19"/>
                <w:szCs w:val="19"/>
              </w:rPr>
            </w:pPr>
            <w:r>
              <w:rPr>
                <w:rFonts w:eastAsia="T3Font_3"/>
                <w:b w:val="false"/>
                <w:bCs w:val="false"/>
                <w:sz w:val="19"/>
                <w:szCs w:val="19"/>
              </w:rPr>
              <w:t>M. Mitrović</w:t>
            </w:r>
            <w:r>
              <w:rPr>
                <w:rFonts w:eastAsia="T3Font_1"/>
                <w:b w:val="false"/>
                <w:bCs w:val="false"/>
                <w:sz w:val="19"/>
                <w:szCs w:val="19"/>
              </w:rPr>
              <w:t>,</w:t>
            </w:r>
            <w:r>
              <w:rPr>
                <w:rFonts w:eastAsia="T3Font_1"/>
                <w:sz w:val="19"/>
                <w:szCs w:val="19"/>
              </w:rPr>
              <w:t xml:space="preserve"> G. Paltoglou, and B. Tadić, </w:t>
            </w:r>
            <w:r>
              <w:rPr>
                <w:rFonts w:eastAsia="T3Font_1"/>
                <w:i w:val="false"/>
                <w:iCs w:val="false"/>
                <w:sz w:val="19"/>
                <w:szCs w:val="19"/>
              </w:rPr>
              <w:t>Quantitative analysis of bloggers' collective behavior powered by emotions</w:t>
            </w:r>
            <w:r>
              <w:rPr>
                <w:rFonts w:eastAsia="T3Font_1"/>
                <w:i/>
                <w:iCs/>
                <w:sz w:val="19"/>
                <w:szCs w:val="19"/>
              </w:rPr>
              <w:t xml:space="preserve">, </w:t>
            </w:r>
            <w:r>
              <w:rPr>
                <w:rFonts w:eastAsia="T3Font_1"/>
                <w:b/>
                <w:bCs/>
                <w:sz w:val="19"/>
                <w:szCs w:val="19"/>
              </w:rPr>
              <w:t>J. Stat. Mech.-Theory Exp.</w:t>
            </w:r>
            <w:r>
              <w:rPr>
                <w:rFonts w:eastAsia="T3Font_1"/>
                <w:sz w:val="19"/>
                <w:szCs w:val="19"/>
              </w:rPr>
              <w:t xml:space="preserve"> 2011, P02005, 2011.  DOI: 10.1088/1742-5468/2011/02/P02005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900" w:leader="none"/>
                <w:tab w:val="left" w:pos="1200" w:leader="none"/>
              </w:tabs>
              <w:ind w:right="0" w:hanging="0"/>
              <w:jc w:val="both"/>
              <w:rPr>
                <w:i w:val="false"/>
                <w:i w:val="false"/>
                <w:iCs w:val="false"/>
                <w:sz w:val="19"/>
                <w:szCs w:val="19"/>
              </w:rPr>
            </w:pPr>
            <w:r>
              <w:rPr>
                <w:rFonts w:eastAsia="T3Font_3"/>
                <w:b w:val="false"/>
                <w:bCs w:val="false"/>
                <w:i w:val="false"/>
                <w:iCs w:val="false"/>
                <w:sz w:val="19"/>
                <w:szCs w:val="19"/>
              </w:rPr>
              <w:t>M. Mitrović</w:t>
            </w:r>
            <w:r>
              <w:rPr>
                <w:rFonts w:eastAsia="T3Font_1"/>
                <w:b w:val="false"/>
                <w:bCs w:val="false"/>
                <w:i w:val="false"/>
                <w:iCs w:val="false"/>
                <w:sz w:val="19"/>
                <w:szCs w:val="19"/>
              </w:rPr>
              <w:t>,</w:t>
            </w:r>
            <w:r>
              <w:rPr>
                <w:rFonts w:eastAsia="T3Font_1"/>
                <w:i w:val="false"/>
                <w:iCs w:val="false"/>
                <w:sz w:val="19"/>
                <w:szCs w:val="19"/>
              </w:rPr>
              <w:t xml:space="preserve"> G. Paltoglou, and B. Tadić, </w:t>
            </w:r>
            <w:r>
              <w:rPr>
                <w:rFonts w:eastAsia="T3Font_1"/>
                <w:i w:val="false"/>
                <w:iCs w:val="false"/>
                <w:sz w:val="19"/>
                <w:szCs w:val="19"/>
                <w:u w:val="none"/>
              </w:rPr>
              <w:t>Networks and emotion-driven user communities at popular Blogs</w:t>
            </w:r>
            <w:r>
              <w:rPr>
                <w:rFonts w:eastAsia="T3Font_1"/>
                <w:i w:val="false"/>
                <w:iCs w:val="false"/>
                <w:sz w:val="19"/>
                <w:szCs w:val="19"/>
              </w:rPr>
              <w:t xml:space="preserve">, </w:t>
            </w:r>
            <w:r>
              <w:rPr>
                <w:rFonts w:eastAsia="T3Font_1"/>
                <w:b/>
                <w:bCs/>
                <w:i w:val="false"/>
                <w:iCs w:val="false"/>
                <w:sz w:val="19"/>
                <w:szCs w:val="19"/>
              </w:rPr>
              <w:t xml:space="preserve">Eur. Phys. J. B </w:t>
            </w:r>
            <w:r>
              <w:rPr>
                <w:rFonts w:eastAsia="T3Font_3"/>
                <w:b/>
                <w:bCs/>
                <w:i w:val="false"/>
                <w:iCs w:val="false"/>
                <w:sz w:val="19"/>
                <w:szCs w:val="19"/>
              </w:rPr>
              <w:t>77</w:t>
            </w:r>
            <w:r>
              <w:rPr>
                <w:rFonts w:eastAsia="T3Font_1"/>
                <w:i w:val="false"/>
                <w:iCs w:val="false"/>
                <w:sz w:val="19"/>
                <w:szCs w:val="19"/>
              </w:rPr>
              <w:t xml:space="preserve">, 597, 2010. DOI: </w:t>
            </w:r>
            <w:bookmarkStart w:id="1" w:name="doi-url"/>
            <w:bookmarkEnd w:id="1"/>
            <w:r>
              <w:rPr>
                <w:rFonts w:eastAsia="T3Font_1"/>
                <w:i w:val="false"/>
                <w:iCs w:val="false"/>
                <w:sz w:val="19"/>
                <w:szCs w:val="19"/>
              </w:rPr>
              <w:t>10.1140/epjb/e2010-00279-x</w:t>
            </w:r>
          </w:p>
        </w:tc>
      </w:tr>
      <w:tr>
        <w:trPr/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900" w:leader="none"/>
                <w:tab w:val="left" w:pos="1200" w:leader="none"/>
              </w:tabs>
              <w:ind w:right="0" w:hanging="0"/>
              <w:jc w:val="both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19"/>
                <w:szCs w:val="19"/>
              </w:rPr>
            </w:pPr>
            <w:r>
              <w:rPr>
                <w:rFonts w:eastAsia="T3Font_3"/>
                <w:b w:val="false"/>
                <w:bCs w:val="false"/>
                <w:i w:val="false"/>
                <w:iCs w:val="false"/>
                <w:sz w:val="19"/>
                <w:szCs w:val="19"/>
              </w:rPr>
              <w:t>M. Mitrović and</w:t>
            </w:r>
            <w:r>
              <w:rPr>
                <w:rFonts w:eastAsia="T3Font_1"/>
                <w:b w:val="false"/>
                <w:bCs w:val="false"/>
                <w:i w:val="false"/>
                <w:iCs w:val="false"/>
                <w:sz w:val="19"/>
                <w:szCs w:val="19"/>
              </w:rPr>
              <w:t xml:space="preserve"> B. Tadić, Spectral and dynamical properties in classes of sparse networks with mesoscopic inhomogeneities, </w:t>
            </w:r>
            <w:r>
              <w:rPr>
                <w:rFonts w:eastAsia="T3Font_1"/>
                <w:b/>
                <w:bCs/>
                <w:i w:val="false"/>
                <w:iCs w:val="false"/>
                <w:sz w:val="19"/>
                <w:szCs w:val="19"/>
              </w:rPr>
              <w:t xml:space="preserve">Phys. Rev. E </w:t>
            </w:r>
            <w:r>
              <w:rPr>
                <w:rFonts w:eastAsia="T3Font_3"/>
                <w:b/>
                <w:bCs/>
                <w:i w:val="false"/>
                <w:iCs w:val="false"/>
                <w:sz w:val="19"/>
                <w:szCs w:val="19"/>
              </w:rPr>
              <w:t>80</w:t>
            </w:r>
            <w:r>
              <w:rPr>
                <w:rFonts w:eastAsia="T3Font_1"/>
                <w:b w:val="false"/>
                <w:bCs w:val="false"/>
                <w:i w:val="false"/>
                <w:iCs w:val="false"/>
                <w:sz w:val="19"/>
                <w:szCs w:val="19"/>
              </w:rPr>
              <w:t>, 026123, 2009. DOI: 10.1103/PhysRevE.80.026123</w:t>
            </w:r>
          </w:p>
        </w:tc>
      </w:tr>
      <w:tr>
        <w:trPr/>
        <w:tc>
          <w:tcPr>
            <w:tcW w:w="98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Збирни подаци научне, односно уметничке и стручне активности наставника</w:t>
            </w:r>
          </w:p>
        </w:tc>
      </w:tr>
      <w:tr>
        <w:trPr/>
        <w:tc>
          <w:tcPr>
            <w:tcW w:w="461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Укупан број цитата</w:t>
            </w:r>
          </w:p>
        </w:tc>
        <w:tc>
          <w:tcPr>
            <w:tcW w:w="51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Cs w:val="22"/>
                <w:lang w:val="en-US"/>
              </w:rPr>
              <w:t>709 (Google Scholar),   369 (Web of Science)</w:t>
            </w:r>
          </w:p>
        </w:tc>
      </w:tr>
      <w:tr>
        <w:trPr/>
        <w:tc>
          <w:tcPr>
            <w:tcW w:w="461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 xml:space="preserve">Укупан број радова са </w:t>
            </w:r>
            <w:r>
              <w:rPr>
                <w:szCs w:val="22"/>
              </w:rPr>
              <w:t>SCI</w:t>
            </w:r>
            <w:r>
              <w:rPr>
                <w:szCs w:val="22"/>
                <w:lang w:val="sr-CS"/>
              </w:rPr>
              <w:t xml:space="preserve"> (</w:t>
            </w:r>
            <w:r>
              <w:rPr>
                <w:szCs w:val="22"/>
              </w:rPr>
              <w:t>SSCI</w:t>
            </w:r>
            <w:r>
              <w:rPr>
                <w:szCs w:val="22"/>
                <w:lang w:val="sr-CS"/>
              </w:rPr>
              <w:t>) листе</w:t>
            </w:r>
          </w:p>
        </w:tc>
        <w:tc>
          <w:tcPr>
            <w:tcW w:w="51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Cs w:val="22"/>
                <w:lang w:val="en-US"/>
              </w:rPr>
              <w:t>19</w:t>
            </w:r>
          </w:p>
        </w:tc>
      </w:tr>
      <w:tr>
        <w:trPr/>
        <w:tc>
          <w:tcPr>
            <w:tcW w:w="461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</w:rPr>
              <w:t>Тренутно у</w:t>
            </w:r>
            <w:r>
              <w:rPr>
                <w:szCs w:val="22"/>
                <w:lang w:val="sr-CS"/>
              </w:rPr>
              <w:t>чешће на пројектима</w:t>
            </w:r>
          </w:p>
        </w:tc>
        <w:tc>
          <w:tcPr>
            <w:tcW w:w="1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sr-CS"/>
              </w:rPr>
              <w:t>Домаћи</w:t>
            </w:r>
            <w:r>
              <w:rPr>
                <w:sz w:val="22"/>
                <w:szCs w:val="22"/>
              </w:rPr>
              <w:t xml:space="preserve"> / </w:t>
            </w:r>
            <w:bookmarkStart w:id="2" w:name="_GoBack"/>
            <w:bookmarkEnd w:id="2"/>
            <w:r>
              <w:rPr>
                <w:sz w:val="22"/>
                <w:szCs w:val="22"/>
              </w:rPr>
              <w:t>2</w:t>
            </w:r>
          </w:p>
        </w:tc>
        <w:tc>
          <w:tcPr>
            <w:tcW w:w="33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sr-CS"/>
              </w:rPr>
              <w:t>Међународни</w:t>
            </w:r>
            <w:r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</w:rPr>
              <w:t>1</w:t>
            </w:r>
          </w:p>
        </w:tc>
      </w:tr>
      <w:tr>
        <w:trPr/>
        <w:tc>
          <w:tcPr>
            <w:tcW w:w="18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 w:val="22"/>
                <w:szCs w:val="22"/>
                <w:lang w:val="sr-CS"/>
              </w:rPr>
              <w:t>Усавршавања</w:t>
            </w:r>
          </w:p>
        </w:tc>
        <w:tc>
          <w:tcPr>
            <w:tcW w:w="793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color w:val="333333"/>
                <w:lang w:val="sr-CS"/>
              </w:rPr>
              <w:t>Одсек за теоријску физику, Институт Јожеф Штефан, Словенија (2009-2012), Одсек за биомедицински инжињеринг и рачунарске науке, Школа за науку, Аалто Универзитет, Финска (2012-2014)</w:t>
            </w:r>
          </w:p>
        </w:tc>
      </w:tr>
      <w:tr>
        <w:trPr/>
        <w:tc>
          <w:tcPr>
            <w:tcW w:w="98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sr-CS"/>
              </w:rPr>
              <w:t>Други подаци које сматрате релевантним:</w:t>
            </w:r>
          </w:p>
          <w:p>
            <w:pPr>
              <w:pStyle w:val="LONormal"/>
              <w:jc w:val="both"/>
              <w:rPr>
                <w:rFonts w:ascii="Times New Roman" w:hAnsi="Times New Roman"/>
                <w:color w:val="333333"/>
              </w:rPr>
            </w:pPr>
            <w:r>
              <w:rPr>
                <w:rFonts w:eastAsia="MS Mincho" w:cs="Arial" w:ascii="Times New Roman" w:hAnsi="Times New Roman"/>
                <w:b w:val="false"/>
                <w:bCs w:val="false"/>
                <w:color w:val="333333"/>
                <w:sz w:val="22"/>
                <w:szCs w:val="22"/>
                <w:lang w:val="sr-CS"/>
              </w:rPr>
              <w:t xml:space="preserve">Руководилац је Иновационог центра Института за физику у Београду, Универзитет у Београду. Поседује богато знање и искуство у областима теоријске и нумеричке физике. Њена област истраживања је статистичка физика комплексних система, са фокусом на социјалне системе и комплексне мреже. Као руководилац Иновационог центра укључена је у развој технологија и њихову комерцијализацију, послове заштиту и руковођења интелектуалном својином. Учествовала је на великом броју интернационалних и националних пројеката у области истраживања (FP6, FP7, H2020) као и технолошког развоја (Програм сарадње привреде и науке, H2020). </w:t>
            </w:r>
          </w:p>
          <w:p>
            <w:pPr>
              <w:pStyle w:val="Normal"/>
              <w:jc w:val="both"/>
              <w:rPr>
                <w:color w:val="333333"/>
                <w:sz w:val="19"/>
                <w:szCs w:val="19"/>
              </w:rPr>
            </w:pPr>
            <w:r>
              <w:rPr>
                <w:color w:val="333333"/>
                <w:sz w:val="19"/>
                <w:szCs w:val="19"/>
              </w:rPr>
            </w:r>
          </w:p>
        </w:tc>
      </w:tr>
    </w:tbl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567" w:footer="0" w:bottom="56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mirrorMargins/>
  <w:embedSystemFonts/>
  <w:defaultTabStop w:val="72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e2421"/>
    <w:pPr>
      <w:widowControl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spacing w:before="0"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rsid w:val="009a30e1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qFormat/>
    <w:rsid w:val="003311c0"/>
    <w:rPr>
      <w:rFonts w:ascii="Courier New" w:hAnsi="Courier New"/>
    </w:rPr>
  </w:style>
  <w:style w:type="character" w:styleId="Heading3Char" w:customStyle="1">
    <w:name w:val="Heading 3 Char"/>
    <w:basedOn w:val="DefaultParagraphFont"/>
    <w:link w:val="Heading3"/>
    <w:qFormat/>
    <w:rsid w:val="00e55139"/>
    <w:rPr>
      <w:rFonts w:ascii="Arial" w:hAnsi="Arial" w:cs="Arial"/>
      <w:bCs/>
      <w:i/>
      <w:sz w:val="24"/>
      <w:szCs w:val="26"/>
    </w:rPr>
  </w:style>
  <w:style w:type="character" w:styleId="Applestylespan" w:customStyle="1">
    <w:name w:val="apple-style-span"/>
    <w:basedOn w:val="DefaultParagraphFont"/>
    <w:qFormat/>
    <w:rsid w:val="00d052b3"/>
    <w:rPr/>
  </w:style>
  <w:style w:type="character" w:styleId="Appleconvertedspace" w:customStyle="1">
    <w:name w:val="apple-converted-space"/>
    <w:basedOn w:val="DefaultParagraphFont"/>
    <w:qFormat/>
    <w:rsid w:val="00d052b3"/>
    <w:rPr/>
  </w:style>
  <w:style w:type="character" w:styleId="Hps" w:customStyle="1">
    <w:name w:val="hps"/>
    <w:basedOn w:val="DefaultParagraphFont"/>
    <w:qFormat/>
    <w:rsid w:val="00d052b3"/>
    <w:rPr/>
  </w:style>
  <w:style w:type="character" w:styleId="FooterChar" w:customStyle="1">
    <w:name w:val="Footer Char"/>
    <w:basedOn w:val="DefaultParagraphFont"/>
    <w:link w:val="Footer"/>
    <w:qFormat/>
    <w:rsid w:val="00d11630"/>
    <w:rPr>
      <w:rFonts w:ascii="Times" w:hAnsi="Times"/>
      <w:lang w:val="hr-HR"/>
    </w:rPr>
  </w:style>
  <w:style w:type="character" w:styleId="Style48" w:customStyle="1">
    <w:name w:val="style48"/>
    <w:basedOn w:val="DefaultParagraphFont"/>
    <w:qFormat/>
    <w:rsid w:val="00d11630"/>
    <w:rPr/>
  </w:style>
  <w:style w:type="character" w:styleId="Style41" w:customStyle="1">
    <w:name w:val="style41"/>
    <w:basedOn w:val="DefaultParagraphFont"/>
    <w:qFormat/>
    <w:rsid w:val="00d11630"/>
    <w:rPr/>
  </w:style>
  <w:style w:type="character" w:styleId="Heading1Char" w:customStyle="1">
    <w:name w:val="Heading 1 Char"/>
    <w:basedOn w:val="DefaultParagraphFont"/>
    <w:link w:val="Heading1"/>
    <w:qFormat/>
    <w:rsid w:val="00297654"/>
    <w:rPr>
      <w:rFonts w:ascii="Cambria" w:hAnsi="Cambria" w:eastAsia="Times New Roman" w:cs="Times New Roman"/>
      <w:b/>
      <w:bCs/>
      <w:sz w:val="32"/>
      <w:szCs w:val="32"/>
      <w:lang w:val="sr-Latn-CS" w:eastAsia="sr-Latn-CS"/>
    </w:rPr>
  </w:style>
  <w:style w:type="character" w:styleId="BalloonTextChar" w:customStyle="1">
    <w:name w:val="Balloon Text Char"/>
    <w:basedOn w:val="DefaultParagraphFont"/>
    <w:link w:val="BalloonText"/>
    <w:qFormat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styleId="Toph" w:customStyle="1">
    <w:name w:val="top-h"/>
    <w:basedOn w:val="DefaultParagraphFont"/>
    <w:qFormat/>
    <w:rsid w:val="006b6e34"/>
    <w:rPr/>
  </w:style>
  <w:style w:type="character" w:styleId="Yshortcuts" w:customStyle="1">
    <w:name w:val="yshortcuts"/>
    <w:basedOn w:val="DefaultParagraphFont"/>
    <w:qFormat/>
    <w:rsid w:val="0035127d"/>
    <w:rPr/>
  </w:style>
  <w:style w:type="character" w:styleId="Contentslistitemarticletitle" w:customStyle="1">
    <w:name w:val="contentslistitem_articletitle"/>
    <w:basedOn w:val="DefaultParagraphFont"/>
    <w:qFormat/>
    <w:rsid w:val="0035127d"/>
    <w:rPr/>
  </w:style>
  <w:style w:type="character" w:styleId="Contentslistitempages" w:customStyle="1">
    <w:name w:val="contentslistitem_pages"/>
    <w:basedOn w:val="DefaultParagraphFont"/>
    <w:qFormat/>
    <w:rsid w:val="0035127d"/>
    <w:rPr/>
  </w:style>
  <w:style w:type="character" w:styleId="Msonormalstyle1" w:customStyle="1">
    <w:name w:val="msonormal style1"/>
    <w:basedOn w:val="DefaultParagraphFont"/>
    <w:qFormat/>
    <w:rsid w:val="00210aaa"/>
    <w:rPr/>
  </w:style>
  <w:style w:type="character" w:styleId="DocumentMapChar" w:customStyle="1">
    <w:name w:val="Document Map Char"/>
    <w:basedOn w:val="DefaultParagraphFont"/>
    <w:link w:val="DocumentMap"/>
    <w:qFormat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Annotationreference">
    <w:name w:val="annotation reference"/>
    <w:basedOn w:val="DefaultParagraphFont"/>
    <w:qFormat/>
    <w:rsid w:val="00a07fe4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qFormat/>
    <w:rsid w:val="00a07fe4"/>
    <w:rPr>
      <w:lang w:val="sr-Latn-CS" w:eastAsia="sr-Latn-CS"/>
    </w:rPr>
  </w:style>
  <w:style w:type="character" w:styleId="CommentSubjectChar" w:customStyle="1">
    <w:name w:val="Comment Subject Char"/>
    <w:basedOn w:val="CommentTextChar"/>
    <w:link w:val="CommentSubject"/>
    <w:qFormat/>
    <w:rsid w:val="00a07fe4"/>
    <w:rPr>
      <w:b/>
      <w:bCs/>
      <w:lang w:val="sr-Latn-CS" w:eastAsia="sr-Latn-CS"/>
    </w:rPr>
  </w:style>
  <w:style w:type="character" w:styleId="ListLabel1">
    <w:name w:val="ListLabel 1"/>
    <w:qFormat/>
    <w:rPr>
      <w:b w:val="false"/>
      <w:sz w:val="24"/>
      <w:szCs w:val="24"/>
    </w:rPr>
  </w:style>
  <w:style w:type="character" w:styleId="ListLabel2">
    <w:name w:val="ListLabel 2"/>
    <w:qFormat/>
    <w:rPr>
      <w:b w:val="false"/>
      <w:sz w:val="20"/>
      <w:szCs w:val="24"/>
    </w:rPr>
  </w:style>
  <w:style w:type="character" w:styleId="ListLabel3">
    <w:name w:val="ListLabel 3"/>
    <w:qFormat/>
    <w:rPr>
      <w:b w:val="false"/>
      <w:sz w:val="20"/>
      <w:szCs w:val="24"/>
    </w:rPr>
  </w:style>
  <w:style w:type="character" w:styleId="ListLabel4">
    <w:name w:val="ListLabel 4"/>
    <w:qFormat/>
    <w:rPr>
      <w:b w:val="false"/>
      <w:sz w:val="20"/>
      <w:szCs w:val="24"/>
    </w:rPr>
  </w:style>
  <w:style w:type="character" w:styleId="ListLabel5">
    <w:name w:val="ListLabel 5"/>
    <w:qFormat/>
    <w:rPr>
      <w:b w:val="false"/>
      <w:sz w:val="20"/>
      <w:szCs w:val="24"/>
    </w:rPr>
  </w:style>
  <w:style w:type="character" w:styleId="ListLabel6">
    <w:name w:val="ListLabel 6"/>
    <w:qFormat/>
    <w:rPr>
      <w:b w:val="false"/>
      <w:sz w:val="24"/>
      <w:szCs w:val="24"/>
    </w:rPr>
  </w:style>
  <w:style w:type="character" w:styleId="ListLabel7">
    <w:name w:val="ListLabel 7"/>
    <w:qFormat/>
    <w:rPr>
      <w:b w:val="false"/>
      <w:sz w:val="20"/>
      <w:szCs w:val="24"/>
    </w:rPr>
  </w:style>
  <w:style w:type="character" w:styleId="ListLabel8">
    <w:name w:val="ListLabel 8"/>
    <w:qFormat/>
    <w:rPr>
      <w:b w:val="false"/>
      <w:sz w:val="24"/>
      <w:szCs w:val="24"/>
    </w:rPr>
  </w:style>
  <w:style w:type="character" w:styleId="ListLabel9">
    <w:name w:val="ListLabel 9"/>
    <w:qFormat/>
    <w:rPr>
      <w:b w:val="false"/>
      <w:sz w:val="24"/>
      <w:szCs w:val="24"/>
    </w:rPr>
  </w:style>
  <w:style w:type="character" w:styleId="ListLabel10">
    <w:name w:val="ListLabel 10"/>
    <w:qFormat/>
    <w:rPr>
      <w:b w:val="false"/>
      <w:sz w:val="24"/>
      <w:szCs w:val="24"/>
    </w:rPr>
  </w:style>
  <w:style w:type="character" w:styleId="ListLabel11">
    <w:name w:val="ListLabel 11"/>
    <w:qFormat/>
    <w:rPr>
      <w:b w:val="false"/>
      <w:sz w:val="24"/>
      <w:szCs w:val="24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b w:val="false"/>
      <w:sz w:val="24"/>
      <w:szCs w:val="24"/>
    </w:rPr>
  </w:style>
  <w:style w:type="character" w:styleId="ListLabel14">
    <w:name w:val="ListLabel 14"/>
    <w:qFormat/>
    <w:rPr>
      <w:b w:val="false"/>
      <w:sz w:val="20"/>
      <w:szCs w:val="24"/>
    </w:rPr>
  </w:style>
  <w:style w:type="character" w:styleId="ListLabel15">
    <w:name w:val="ListLabel 15"/>
    <w:qFormat/>
    <w:rPr>
      <w:b w:val="false"/>
      <w:sz w:val="24"/>
      <w:szCs w:val="24"/>
    </w:rPr>
  </w:style>
  <w:style w:type="character" w:styleId="ListLabel16">
    <w:name w:val="ListLabel 16"/>
    <w:qFormat/>
    <w:rPr>
      <w:sz w:val="18"/>
    </w:rPr>
  </w:style>
  <w:style w:type="character" w:styleId="ListLabel17">
    <w:name w:val="ListLabel 17"/>
    <w:qFormat/>
    <w:rPr>
      <w:b w:val="false"/>
      <w:sz w:val="24"/>
      <w:szCs w:val="24"/>
    </w:rPr>
  </w:style>
  <w:style w:type="character" w:styleId="ListLabel18">
    <w:name w:val="ListLabel 18"/>
    <w:qFormat/>
    <w:rPr>
      <w:b w:val="false"/>
      <w:sz w:val="24"/>
      <w:szCs w:val="24"/>
    </w:rPr>
  </w:style>
  <w:style w:type="character" w:styleId="ListLabel19">
    <w:name w:val="ListLabel 19"/>
    <w:qFormat/>
    <w:rPr>
      <w:b w:val="false"/>
      <w:sz w:val="22"/>
      <w:szCs w:val="24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b w:val="false"/>
      <w:sz w:val="24"/>
      <w:szCs w:val="24"/>
    </w:rPr>
  </w:style>
  <w:style w:type="character" w:styleId="ListLabel22">
    <w:name w:val="ListLabel 22"/>
    <w:qFormat/>
    <w:rPr>
      <w:sz w:val="18"/>
    </w:rPr>
  </w:style>
  <w:style w:type="character" w:styleId="ListLabel23">
    <w:name w:val="ListLabel 23"/>
    <w:qFormat/>
    <w:rPr>
      <w:sz w:val="16"/>
    </w:rPr>
  </w:style>
  <w:style w:type="character" w:styleId="ListLabel24">
    <w:name w:val="ListLabel 24"/>
    <w:qFormat/>
    <w:rPr>
      <w:b w:val="false"/>
      <w:sz w:val="24"/>
      <w:szCs w:val="24"/>
    </w:rPr>
  </w:style>
  <w:style w:type="character" w:styleId="ListLabel25">
    <w:name w:val="ListLabel 25"/>
    <w:qFormat/>
    <w:rPr>
      <w:b w:val="false"/>
      <w:sz w:val="24"/>
      <w:szCs w:val="24"/>
    </w:rPr>
  </w:style>
  <w:style w:type="character" w:styleId="ListLabel26">
    <w:name w:val="ListLabel 26"/>
    <w:qFormat/>
    <w:rPr>
      <w:b w:val="false"/>
      <w:sz w:val="24"/>
      <w:szCs w:val="24"/>
    </w:rPr>
  </w:style>
  <w:style w:type="character" w:styleId="ListLabel27">
    <w:name w:val="ListLabel 27"/>
    <w:qFormat/>
    <w:rPr>
      <w:b w:val="false"/>
      <w:sz w:val="24"/>
      <w:szCs w:val="24"/>
    </w:rPr>
  </w:style>
  <w:style w:type="character" w:styleId="ListLabel28">
    <w:name w:val="ListLabel 28"/>
    <w:qFormat/>
    <w:rPr>
      <w:b w:val="false"/>
      <w:sz w:val="18"/>
      <w:szCs w:val="24"/>
    </w:rPr>
  </w:style>
  <w:style w:type="character" w:styleId="ListLabel29">
    <w:name w:val="ListLabel 29"/>
    <w:qFormat/>
    <w:rPr>
      <w:b w:val="false"/>
      <w:sz w:val="24"/>
      <w:szCs w:val="24"/>
    </w:rPr>
  </w:style>
  <w:style w:type="character" w:styleId="ListLabel30">
    <w:name w:val="ListLabel 30"/>
    <w:qFormat/>
    <w:rPr>
      <w:b w:val="false"/>
      <w:sz w:val="20"/>
      <w:szCs w:val="24"/>
    </w:rPr>
  </w:style>
  <w:style w:type="character" w:styleId="ListLabel31">
    <w:name w:val="ListLabel 31"/>
    <w:qFormat/>
    <w:rPr>
      <w:b w:val="false"/>
      <w:sz w:val="24"/>
      <w:szCs w:val="24"/>
    </w:rPr>
  </w:style>
  <w:style w:type="character" w:styleId="ListLabel32">
    <w:name w:val="ListLabel 32"/>
    <w:qFormat/>
    <w:rPr>
      <w:sz w:val="20"/>
      <w:szCs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b w:val="false"/>
      <w:sz w:val="20"/>
      <w:szCs w:val="24"/>
    </w:rPr>
  </w:style>
  <w:style w:type="character" w:styleId="ListLabel35">
    <w:name w:val="ListLabel 35"/>
    <w:qFormat/>
    <w:rPr>
      <w:b w:val="false"/>
      <w:sz w:val="24"/>
      <w:szCs w:val="24"/>
    </w:rPr>
  </w:style>
  <w:style w:type="character" w:styleId="ListLabel36">
    <w:name w:val="ListLabel 36"/>
    <w:qFormat/>
    <w:rPr>
      <w:b w:val="false"/>
      <w:sz w:val="24"/>
      <w:szCs w:val="24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37">
    <w:name w:val="ListLabel 37"/>
    <w:qFormat/>
    <w:rPr>
      <w:b w:val="false"/>
      <w:sz w:val="24"/>
      <w:szCs w:val="24"/>
    </w:rPr>
  </w:style>
  <w:style w:type="character" w:styleId="ListLabel38">
    <w:name w:val="ListLabel 38"/>
    <w:qFormat/>
    <w:rPr>
      <w:b w:val="false"/>
      <w:sz w:val="24"/>
      <w:szCs w:val="24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Default" w:customStyle="1">
    <w:name w:val="Default"/>
    <w:qFormat/>
    <w:rsid w:val="00cf794d"/>
    <w:pPr>
      <w:widowControl w:val="false"/>
      <w:bidi w:val="0"/>
      <w:jc w:val="left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qFormat/>
    <w:rsid w:val="003311c0"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paragraph" w:styleId="NormalWeb">
    <w:name w:val="Normal (Web)"/>
    <w:basedOn w:val="Normal"/>
    <w:uiPriority w:val="99"/>
    <w:unhideWhenUsed/>
    <w:qFormat/>
    <w:rsid w:val="00d052b3"/>
    <w:pPr>
      <w:widowControl/>
      <w:spacing w:before="0" w:after="75"/>
      <w:jc w:val="both"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 w:leader="none"/>
        <w:tab w:val="right" w:pos="8640" w:leader="none"/>
      </w:tabs>
    </w:pPr>
    <w:rPr>
      <w:rFonts w:ascii="Times" w:hAnsi="Times"/>
      <w:lang w:val="hr-HR" w:eastAsia="en-US"/>
    </w:rPr>
  </w:style>
  <w:style w:type="paragraph" w:styleId="BalloonText">
    <w:name w:val="Balloon Text"/>
    <w:basedOn w:val="Normal"/>
    <w:link w:val="BalloonTextChar"/>
    <w:qFormat/>
    <w:rsid w:val="00df7c5a"/>
    <w:pPr/>
    <w:rPr>
      <w:rFonts w:ascii="Tahoma" w:hAnsi="Tahoma" w:cs="Tahoma"/>
      <w:sz w:val="16"/>
      <w:szCs w:val="16"/>
    </w:rPr>
  </w:style>
  <w:style w:type="paragraph" w:styleId="Char" w:customStyle="1">
    <w:name w:val="Char"/>
    <w:basedOn w:val="Normal"/>
    <w:qFormat/>
    <w:rsid w:val="00a858b7"/>
    <w:pPr>
      <w:widowControl/>
      <w:tabs>
        <w:tab w:val="center" w:pos="3682" w:leader="none"/>
        <w:tab w:val="right" w:pos="7380" w:leader="none"/>
      </w:tabs>
      <w:spacing w:lineRule="exact" w:line="240" w:before="0" w:after="160"/>
    </w:pPr>
    <w:rPr>
      <w:rFonts w:ascii="Verdana" w:hAnsi="Verdana" w:cs="Arial"/>
      <w:color w:val="000080"/>
      <w:sz w:val="18"/>
      <w:szCs w:val="18"/>
      <w:lang w:eastAsia="en-US"/>
    </w:rPr>
  </w:style>
  <w:style w:type="paragraph" w:styleId="CharCharChar" w:customStyle="1">
    <w:name w:val="Char Char Char"/>
    <w:basedOn w:val="Normal"/>
    <w:qFormat/>
    <w:rsid w:val="0035127d"/>
    <w:pPr>
      <w:widowControl/>
      <w:spacing w:lineRule="exact" w:line="240" w:before="0" w:after="160"/>
    </w:pPr>
    <w:rPr>
      <w:rFonts w:ascii="Arial" w:hAnsi="Arial" w:cs="Arial"/>
      <w:lang w:val="fr-CH"/>
    </w:rPr>
  </w:style>
  <w:style w:type="paragraph" w:styleId="DocumentMap">
    <w:name w:val="Document Map"/>
    <w:basedOn w:val="Normal"/>
    <w:link w:val="DocumentMapChar"/>
    <w:qFormat/>
    <w:rsid w:val="00b131f4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CommentTextChar"/>
    <w:qFormat/>
    <w:rsid w:val="00a07fe4"/>
    <w:pPr/>
    <w:rPr/>
  </w:style>
  <w:style w:type="paragraph" w:styleId="Annotationsubject">
    <w:name w:val="annotation subject"/>
    <w:basedOn w:val="Annotationtext"/>
    <w:link w:val="CommentSubjectChar"/>
    <w:qFormat/>
    <w:rsid w:val="00a07fe4"/>
    <w:pPr/>
    <w:rPr>
      <w:b/>
      <w:bCs/>
    </w:rPr>
  </w:style>
  <w:style w:type="paragraph" w:styleId="ListParagraph">
    <w:name w:val="List Paragraph"/>
    <w:basedOn w:val="Normal"/>
    <w:uiPriority w:val="34"/>
    <w:qFormat/>
    <w:rsid w:val="001721f8"/>
    <w:pPr>
      <w:spacing w:before="0" w:after="0"/>
      <w:ind w:left="720" w:hanging="0"/>
      <w:contextualSpacing/>
    </w:pPr>
    <w:rPr/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paragraph" w:styleId="LONormal">
    <w:name w:val="LO-Normal"/>
    <w:qFormat/>
    <w:pPr>
      <w:widowControl/>
      <w:suppressAutoHyphens w:val="true"/>
      <w:bidi w:val="0"/>
      <w:jc w:val="left"/>
    </w:pPr>
    <w:rPr>
      <w:rFonts w:ascii="Liberation Serif" w:hAnsi="Liberation Serif" w:eastAsia="Noto Sans CJK SC Regular" w:cs="FreeSans"/>
      <w:color w:val="00000A"/>
      <w:sz w:val="24"/>
      <w:szCs w:val="24"/>
      <w:lang w:val="en-GB" w:eastAsia="en-GB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67e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LibreOffice/5.1.6.2$Linux_X86_64 LibreOffice_project/10m0$Build-2</Application>
  <Pages>2</Pages>
  <Words>566</Words>
  <Characters>3480</Characters>
  <CharactersWithSpaces>3979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2013-11-10T18:05:00Z</dcterms:created>
  <dc:creator>Vera Dondur</dc:creator>
  <dc:description/>
  <dc:language>en-US</dc:language>
  <cp:lastModifiedBy/>
  <cp:lastPrinted>2012-02-13T18:34:00Z</cp:lastPrinted>
  <dcterms:modified xsi:type="dcterms:W3CDTF">2019-06-05T09:36:17Z</dcterms:modified>
  <cp:revision>21</cp:revision>
  <dc:subject/>
  <dc:title>Табела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